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val="0"/>
        <w:snapToGrid w:val="0"/>
        <w:spacing w:before="0" w:after="0" w:line="590" w:lineRule="exact"/>
        <w:ind w:right="0" w:rightChars="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第七讲</w:t>
      </w:r>
      <w:r>
        <w:rPr>
          <w:rFonts w:hint="eastAsia" w:ascii="方正小标宋简体" w:hAnsi="方正小标宋简体" w:eastAsia="方正小标宋简体" w:cs="方正小标宋简体"/>
          <w:b w:val="0"/>
          <w:bCs/>
          <w:sz w:val="44"/>
          <w:szCs w:val="44"/>
          <w:lang w:val="en-US" w:eastAsia="zh-CN"/>
        </w:rPr>
        <w:t xml:space="preserve">  </w:t>
      </w:r>
      <w:r>
        <w:rPr>
          <w:rFonts w:hint="eastAsia" w:ascii="方正小标宋简体" w:hAnsi="方正小标宋简体" w:eastAsia="方正小标宋简体" w:cs="方正小标宋简体"/>
          <w:b w:val="0"/>
          <w:bCs/>
          <w:sz w:val="44"/>
          <w:szCs w:val="44"/>
        </w:rPr>
        <w:t>心肌梗死后心</w:t>
      </w:r>
      <w:bookmarkStart w:id="0" w:name="_GoBack"/>
      <w:bookmarkEnd w:id="0"/>
      <w:r>
        <w:rPr>
          <w:rFonts w:hint="eastAsia" w:ascii="方正小标宋简体" w:hAnsi="方正小标宋简体" w:eastAsia="方正小标宋简体" w:cs="方正小标宋简体"/>
          <w:b w:val="0"/>
          <w:bCs/>
          <w:sz w:val="44"/>
          <w:szCs w:val="44"/>
        </w:rPr>
        <w:t>力衰竭防治</w:t>
      </w:r>
    </w:p>
    <w:p>
      <w:pPr>
        <w:pageBreakBefore w:val="0"/>
        <w:kinsoku/>
        <w:wordWrap/>
        <w:overflowPunct/>
        <w:topLinePunct w:val="0"/>
        <w:autoSpaceDE/>
        <w:autoSpaceDN/>
        <w:bidi w:val="0"/>
        <w:adjustRightInd w:val="0"/>
        <w:snapToGrid w:val="0"/>
        <w:spacing w:line="590" w:lineRule="exact"/>
        <w:ind w:right="0" w:rightChars="0"/>
        <w:jc w:val="center"/>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福建医科大学附属协和医院</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罗育坤</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Cs/>
          <w:sz w:val="32"/>
          <w:szCs w:val="32"/>
        </w:rPr>
      </w:pPr>
    </w:p>
    <w:p>
      <w:pPr>
        <w:pStyle w:val="3"/>
        <w:pageBreakBefore w:val="0"/>
        <w:kinsoku/>
        <w:wordWrap/>
        <w:overflowPunct/>
        <w:topLinePunct w:val="0"/>
        <w:autoSpaceDE/>
        <w:autoSpaceDN/>
        <w:bidi w:val="0"/>
        <w:adjustRightInd w:val="0"/>
        <w:snapToGrid w:val="0"/>
        <w:spacing w:before="0" w:after="0"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1心肌梗死后心力衰竭的定义及分类</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1.1心肌梗死后心力衰竭的定义</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衰是心脏结构和（或）功能异常导致静息或负荷时心输出量减少和（或）心腔内压力增高，从而引起组织器官灌注不足的一组临床综合征。心梗后心衰为急性心梗（包括STEMI和NSTEMI）后、在住院期间或出院后出现的心衰。</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1.2心肌梗死后心力衰竭的分类</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心衰发生的时间，可分为早发心梗后心衰（心梗入院时即存在或住院期间出现的心衰）和晚发心梗后心衰（出院后出现的心衰）。按照起病缓急，可分为心梗后急性心衰和心梗后慢性心衰。根据梗死的部位和范围的不同，急性心衰又可分为急性左心衰、急性右心衰、急性全心衰。多数心梗后急性心衰患者经住院治疗后症状可以缓解而转为慢性心衰；心梗后慢性心衰又可因各种诱因发生失代偿，出现急性加重而需住院治疗。心梗的类型、部位、面积大小以及治疗是否及时、有效都是心衰发生与否及严重程度的决定因素。根据左心室射血分数（LVEF），心梗后心衰可分为HFrEF（LVEF &lt;40%）、HFmrEF（LVEF 40%-49%）以及HFpEF（LVEF≥50%）。</w:t>
      </w:r>
    </w:p>
    <w:p>
      <w:pPr>
        <w:pageBreakBefore w:val="0"/>
        <w:kinsoku/>
        <w:wordWrap/>
        <w:overflowPunct/>
        <w:topLinePunct w:val="0"/>
        <w:autoSpaceDE/>
        <w:autoSpaceDN/>
        <w:bidi w:val="0"/>
        <w:adjustRightInd w:val="0"/>
        <w:snapToGrid w:val="0"/>
        <w:spacing w:line="590" w:lineRule="exact"/>
        <w:ind w:right="0" w:rightChars="0"/>
        <w:jc w:val="both"/>
        <w:textAlignment w:val="auto"/>
        <w:rPr>
          <w:rStyle w:val="8"/>
          <w:rFonts w:hint="eastAsia" w:ascii="仿宋_GB2312" w:hAnsi="仿宋_GB2312" w:eastAsia="仿宋_GB2312" w:cs="仿宋_GB2312"/>
          <w:sz w:val="32"/>
          <w:szCs w:val="32"/>
        </w:rPr>
      </w:pPr>
      <w:r>
        <w:rPr>
          <w:rStyle w:val="8"/>
          <w:rFonts w:hint="eastAsia" w:ascii="仿宋_GB2312" w:hAnsi="仿宋_GB2312" w:eastAsia="仿宋_GB2312" w:cs="仿宋_GB2312"/>
          <w:sz w:val="32"/>
          <w:szCs w:val="32"/>
          <w:lang w:val="en-US" w:eastAsia="zh-CN"/>
        </w:rPr>
        <w:t xml:space="preserve">    </w:t>
      </w:r>
      <w:r>
        <w:rPr>
          <w:rStyle w:val="8"/>
          <w:rFonts w:hint="eastAsia" w:ascii="仿宋_GB2312" w:hAnsi="仿宋_GB2312" w:eastAsia="仿宋_GB2312" w:cs="仿宋_GB2312"/>
          <w:sz w:val="32"/>
          <w:szCs w:val="32"/>
        </w:rPr>
        <w:t>2心肌梗死后心力衰竭的流行病学及预后</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2.1心肌梗死后心力衰竭的发病率及预后</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中国心梗后心衰流行病学资料相对较少。2001-2004年 CREATE研究发现，STEMI患者心梗发作后7d内心衰的发生率为19.3%。China PEACE十年研究数据表明，2001-2011年，STEMI患者早发（院内）心梗后心衰（LVEF≤40%）的发生率呈下降趋势（2001年vs.2006年vs.2011年：17.4% vs.17.9% vs.12.7%）。</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2.2 心肌梗死后心力衰竭发生的危险因素</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心梗后心衰的发生与多种因素有关。一项基于心梗数据采集系统的研究发现，高血压、糖尿病、肾脏病史以及肺病史是心梗后心衰的危险因素，而血运重建术包括 PCI和冠脉旁路移植术的实施与心衰患者再入院率降低相关。此外，前壁心梗、合并慢性完全闭塞病变以及瓣膜反流的患者也是心梗后心衰的高危人群。</w:t>
      </w:r>
    </w:p>
    <w:p>
      <w:pPr>
        <w:pageBreakBefore w:val="0"/>
        <w:kinsoku/>
        <w:wordWrap/>
        <w:overflowPunct/>
        <w:topLinePunct w:val="0"/>
        <w:autoSpaceDE/>
        <w:autoSpaceDN/>
        <w:bidi w:val="0"/>
        <w:adjustRightInd w:val="0"/>
        <w:snapToGrid w:val="0"/>
        <w:spacing w:line="590" w:lineRule="exact"/>
        <w:ind w:right="0" w:rightChars="0"/>
        <w:jc w:val="both"/>
        <w:textAlignment w:val="auto"/>
        <w:rPr>
          <w:rStyle w:val="8"/>
          <w:rFonts w:hint="eastAsia" w:ascii="仿宋_GB2312" w:hAnsi="仿宋_GB2312" w:eastAsia="仿宋_GB2312" w:cs="仿宋_GB2312"/>
          <w:sz w:val="32"/>
          <w:szCs w:val="32"/>
        </w:rPr>
      </w:pPr>
      <w:r>
        <w:rPr>
          <w:rStyle w:val="8"/>
          <w:rFonts w:hint="eastAsia" w:ascii="仿宋_GB2312" w:hAnsi="仿宋_GB2312" w:eastAsia="仿宋_GB2312" w:cs="仿宋_GB2312"/>
          <w:sz w:val="32"/>
          <w:szCs w:val="32"/>
          <w:lang w:val="en-US" w:eastAsia="zh-CN"/>
        </w:rPr>
        <w:t xml:space="preserve">    </w:t>
      </w:r>
      <w:r>
        <w:rPr>
          <w:rStyle w:val="8"/>
          <w:rFonts w:hint="eastAsia" w:ascii="仿宋_GB2312" w:hAnsi="仿宋_GB2312" w:eastAsia="仿宋_GB2312" w:cs="仿宋_GB2312"/>
          <w:sz w:val="32"/>
          <w:szCs w:val="32"/>
        </w:rPr>
        <w:t>3心肌梗死后心力衰竭的发病机制</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3.1 心肌细胞丢失</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肌细胞丢失是心梗后心脏重构和心衰发生的重要原因。心肌细胞丢失主要包括细胞坏死和细胞凋亡。冠脉急性闭塞后，心肌细胞暴露于急性缺血、缺氧环境而发生缺血性坏死，坏死细胞释放肌钙蛋白、肌酸激酶、乳酸脱氢酶等损伤因子，加重心肌细胞的损毁。缺血区和非缺血区的心肌细胞也可在神经内分泌系统激活、氧化应激、钙超载、炎症反应等损伤因素作用下，激活凋亡信号通路，进而介导心肌细胞凋亡。</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3.2 心脏重构</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心脏重构是心梗后心衰发生的基本病理过程，指心肌细胞、非心肌细胞和细胞外基质（extracellular matrix，ECM）发生适应不良性改变，进而心室几何形态发生病理性改变，导致心脏僵硬度增加，收缩力下降。心脏重构主要机制包括：（1）心肌细胞的肥大和丢失；（2）存活心肌细胞因容量负荷或压力负荷增加而发生拉伸或代偿性肥大，并伴随细胞的凋亡；（3）心肌细胞表型改变，心室肌球蛋白和肌钙蛋白基因表达的胚胎化改变造成心肌细胞收缩能力降低；（4）非心肌细胞的改变和ECM的变化，大量ECM的产生增加室壁僵硬程度，影响心脏的舒张功能和冠脉储备能力，导致心肌细胞缺血、缺氧。</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3.3 免疫损伤和炎症介导</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心梗后凋亡及坏死的心肌细胞释放损伤相关</w:t>
      </w:r>
      <w:r>
        <w:rPr>
          <w:rFonts w:hint="eastAsia" w:ascii="仿宋_GB2312" w:hAnsi="仿宋_GB2312" w:eastAsia="仿宋_GB2312" w:cs="仿宋_GB2312"/>
          <w:color w:val="231F20"/>
          <w:kern w:val="0"/>
          <w:sz w:val="32"/>
          <w:szCs w:val="32"/>
          <w:lang w:bidi="ar"/>
        </w:rPr>
        <w:t>分子模式蛋白，激活先天免疫系统，触发严重的炎症反应。长期过度活跃的炎症反应可导致损伤范围的扩大，加重组织功能受损，最终导致心衰。</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3.4 神经内分泌系统激活</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心梗后心排出量的降低反射性激活交感神经系统，去甲肾上腺素、肾上腺素等分泌增加，使心肌收缩力增强、心率增快、心肌耗氧增加。心梗后心排出量的降低也反射性激活 RAAS，血管紧张素Ⅱ与血管紧张素Ⅱ1型受体结合可引起醛固酮分泌增加、血管收缩、心肌细胞肥大和凋亡，进而导致水钠潴留和心肌纤维化，从而引发心衰症状、加重心脏重构。</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4心肌梗死后心力衰竭的诊断</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4.1 心肌梗死后心力衰竭的临床诊断</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梗后心衰的诊断主要依赖于病史、症状、体征以及辅助检查。首先，患者要有明确的心梗病史或明确的影像学证据支持心梗的存在；其次，根据症状、体征、X线胸片、利钠肽检测和超声心动图明确心衰的存在。超声心动图是评估心脏结构和功能的首选方法，当超声心动图未能做出诊断时，心脏MRI（CMR）是较好的替代影像学检查方法。</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4.2 心肌梗死后心力衰竭的评估</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将B型利钠肽（BNP）或N末端B型利钠肽原（NT-proBNP）测定用于心梗后心衰的诊断以及病情严重程度和预后的评估。在诊断急性心衰时，应根据年龄和肾功能的不同，分层设置不同的NT-proBNP诊断界值：50岁以下的患者NT-proBNP水平&gt;450ng/L，50岁以上的患者&gt;900ng/L，75岁以上的患者&gt;1800 ng/L，肾功能不全的患者&gt;1200ng/L。</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急性心梗时心衰的严重程度可采用 Killip 心功能分级进行评估。</w:t>
      </w:r>
    </w:p>
    <w:p>
      <w:pPr>
        <w:pageBreakBefore w:val="0"/>
        <w:kinsoku/>
        <w:wordWrap/>
        <w:overflowPunct/>
        <w:topLinePunct w:val="0"/>
        <w:autoSpaceDE/>
        <w:autoSpaceDN/>
        <w:bidi w:val="0"/>
        <w:adjustRightInd w:val="0"/>
        <w:snapToGrid w:val="0"/>
        <w:spacing w:line="590" w:lineRule="exact"/>
        <w:ind w:right="0" w:rightChars="0"/>
        <w:jc w:val="both"/>
        <w:textAlignment w:val="auto"/>
        <w:rPr>
          <w:rStyle w:val="8"/>
          <w:rFonts w:hint="eastAsia" w:ascii="仿宋_GB2312" w:hAnsi="仿宋_GB2312" w:eastAsia="仿宋_GB2312" w:cs="仿宋_GB2312"/>
          <w:sz w:val="32"/>
          <w:szCs w:val="32"/>
        </w:rPr>
      </w:pPr>
      <w:r>
        <w:rPr>
          <w:rStyle w:val="8"/>
          <w:rFonts w:hint="eastAsia" w:ascii="仿宋_GB2312" w:hAnsi="仿宋_GB2312" w:eastAsia="仿宋_GB2312" w:cs="仿宋_GB2312"/>
          <w:sz w:val="32"/>
          <w:szCs w:val="32"/>
          <w:lang w:val="en-US" w:eastAsia="zh-CN"/>
        </w:rPr>
        <w:t xml:space="preserve">    </w:t>
      </w:r>
      <w:r>
        <w:rPr>
          <w:rStyle w:val="8"/>
          <w:rFonts w:hint="eastAsia" w:ascii="仿宋_GB2312" w:hAnsi="仿宋_GB2312" w:eastAsia="仿宋_GB2312" w:cs="仿宋_GB2312"/>
          <w:sz w:val="32"/>
          <w:szCs w:val="32"/>
        </w:rPr>
        <w:t>5心肌梗死后心力衰竭的预防</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5.1 尽早实现心肌再灌注</w:t>
      </w:r>
    </w:p>
    <w:p>
      <w:pPr>
        <w:pageBreakBefore w:val="0"/>
        <w:kinsoku/>
        <w:wordWrap/>
        <w:overflowPunct/>
        <w:topLinePunct w:val="0"/>
        <w:autoSpaceDE/>
        <w:autoSpaceDN/>
        <w:bidi w:val="0"/>
        <w:adjustRightInd w:val="0"/>
        <w:snapToGrid w:val="0"/>
        <w:spacing w:line="590" w:lineRule="exact"/>
        <w:ind w:right="0" w:rightChars="0" w:firstLine="420" w:firstLineChars="200"/>
        <w:jc w:val="both"/>
        <w:textAlignment w:val="auto"/>
        <w:rPr>
          <w:rStyle w:val="8"/>
          <w:rFonts w:hint="eastAsia" w:ascii="仿宋_GB2312" w:hAnsi="仿宋_GB2312" w:eastAsia="仿宋_GB2312" w:cs="仿宋_GB2312"/>
          <w:b w:val="0"/>
          <w:bCs/>
          <w:snapToGrid w:val="0"/>
          <w:sz w:val="32"/>
          <w:szCs w:val="32"/>
        </w:rPr>
      </w:pPr>
      <w:r>
        <w:rPr>
          <w:rFonts w:hint="eastAsia" w:ascii="仿宋_GB2312" w:hAnsi="仿宋_GB2312" w:eastAsia="仿宋_GB2312" w:cs="仿宋_GB2312"/>
          <w:sz w:val="32"/>
          <w:szCs w:val="32"/>
        </w:rPr>
        <w:t>及早开通梗死相关冠脉可挽救濒死心肌、缩小梗死心肌面积、减少心肌细胞的丢失，对于预防或延缓心衰的发生有重要作用。早期药物或机械性再灌注治疗对发病12h内、持续ST段抬高或新发生左束支阻滞的STEMI患者有明确的临床获益。有条件实施PCI的医院应尽力在90min内完成球囊扩张治疗。若经救护车收治但120min内不能转运至PCI中心完成再灌注治疗，最好在救护车上开始溶栓治疗。若患者就诊于无直接PCI条件的医院，如能在首次医疗接触（first medical contact，FMC）后120min内转运至 PCI 中心并完成再灌注治疗，则应将患者转运至可行PCI的医院实施直接PCI，且患者应在就诊后30min内转出；若FMC至导丝通过梗死相关动脉时间&gt;120min，则应在FMC后30min内开始溶栓。若STEMI患者因机械并发症导致血流动力学不稳定和（或）出现心原性休克，可使用IABP作为辅助治疗手段。</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vertAlign w:val="superscript"/>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5.2 预防心脏重构</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阻断或延缓心脏重构是预防心梗后心衰的重要环节。若无禁忌证，所有心梗后患者均应长期服用β受体阻滞剂和 ACEI治疗；对不能耐受ACEI的患者，可应用ARB类药物。目前不推荐常规联合应用ACEI和ARB。对心梗后无症状性左心室收缩功能障碍的患者，推荐使用ACEI和β受体阻滞剂，以预防和延缓心衰发生，延长寿命。研究发现，血管紧张素受体脑啡肽酶抑制剂（angiotensin receptor neprilysin inhibitor，ARNI）沙库巴曲缬沙坦能有效逆转心脏重构，且效果优于ACEI和ARB,可以考虑心梗后的患者使用沙库巴曲缬沙坦来预防或延缓心脏重构。</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5.3 心肌梗死后心力衰竭高危因素的防治</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低LVEF水平以及既往心梗、心房颤动、高血压、糖尿病、血脂代谢异常、脑卒中、慢性肾脏病、慢性阻塞性肺病、酗酒等病史均与心梗后急性心衰的发生风险增加相关。积极控制危险因素，如生活方式干预、戒烟及控制血压、血脂、血糖等，均可延缓心衰发作并延长生存期。</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6心肌梗死后心力衰竭的治疗</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6.1心肌梗死后急性心力衰竭的治疗</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6.1.1 治疗目标</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心梗后急性心衰的治疗目标：稳定血流动力学状态，纠正低氧，缓解心衰症状，维护脏器灌注和功能，同时应重视改善患者的生活质量及短期和远期预后。</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6.1.2 积极处理病因和诱因</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心梗后急性心衰，符合急诊血运重建的指征，应评估并行早期血运重建；心梗后慢性心衰急性发作，应寻找导致心衰发作的诱因，并进行相应处理。</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6.1.3 一般处理</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包括体位选择（取半卧位或端坐位）、吸氧和镇静药物的使用。应根据患者呼吸困难严重程度选择不同的吸氧方式。急性肺水肿患者可谨慎使用镇静药，若伴持续低血压、休克、意识障碍、缺氧、严重的慢性阻塞性肺病等情况，禁忌使用。</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6.1.4 药物治疗</w:t>
      </w:r>
    </w:p>
    <w:p>
      <w:pPr>
        <w:pageBreakBefore w:val="0"/>
        <w:widowControl/>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val="en-US" w:eastAsia="zh-CN" w:bidi="ar"/>
        </w:rPr>
        <w:t xml:space="preserve">    </w:t>
      </w:r>
      <w:r>
        <w:rPr>
          <w:rFonts w:hint="eastAsia" w:ascii="仿宋_GB2312" w:hAnsi="仿宋_GB2312" w:eastAsia="仿宋_GB2312" w:cs="仿宋_GB2312"/>
          <w:b/>
          <w:bCs/>
          <w:color w:val="231F20"/>
          <w:kern w:val="0"/>
          <w:sz w:val="32"/>
          <w:szCs w:val="32"/>
          <w:lang w:bidi="ar"/>
        </w:rPr>
        <w:t>利尿剂</w:t>
      </w:r>
      <w:r>
        <w:rPr>
          <w:rFonts w:hint="eastAsia" w:ascii="仿宋_GB2312" w:hAnsi="仿宋_GB2312" w:eastAsia="仿宋_GB2312" w:cs="仿宋_GB2312"/>
          <w:color w:val="231F20"/>
          <w:kern w:val="0"/>
          <w:sz w:val="32"/>
          <w:szCs w:val="32"/>
          <w:lang w:bidi="ar"/>
        </w:rPr>
        <w:t>：首选静脉应用利尿剂如呋塞米、托拉塞米等，必要时可联合应用氢氯噻嗪或保钾利</w:t>
      </w:r>
    </w:p>
    <w:p>
      <w:pPr>
        <w:pageBreakBefore w:val="0"/>
        <w:widowControl/>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尿剂。</w:t>
      </w:r>
    </w:p>
    <w:p>
      <w:pPr>
        <w:pageBreakBefore w:val="0"/>
        <w:widowControl/>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val="en-US" w:eastAsia="zh-CN" w:bidi="ar"/>
        </w:rPr>
        <w:t xml:space="preserve">    </w:t>
      </w:r>
      <w:r>
        <w:rPr>
          <w:rFonts w:hint="eastAsia" w:ascii="仿宋_GB2312" w:hAnsi="仿宋_GB2312" w:eastAsia="仿宋_GB2312" w:cs="仿宋_GB2312"/>
          <w:b/>
          <w:bCs/>
          <w:color w:val="231F20"/>
          <w:kern w:val="0"/>
          <w:sz w:val="32"/>
          <w:szCs w:val="32"/>
          <w:lang w:bidi="ar"/>
        </w:rPr>
        <w:t>血管扩张剂</w:t>
      </w:r>
      <w:r>
        <w:rPr>
          <w:rFonts w:hint="eastAsia" w:ascii="仿宋_GB2312" w:hAnsi="仿宋_GB2312" w:eastAsia="仿宋_GB2312" w:cs="仿宋_GB2312"/>
          <w:color w:val="231F20"/>
          <w:kern w:val="0"/>
          <w:sz w:val="32"/>
          <w:szCs w:val="32"/>
          <w:lang w:bidi="ar"/>
        </w:rPr>
        <w:t>：主要有硝酸酯类、硝普钠、重组BNP、乌拉地尔等。血管扩张剂使用前及使用过程中要注意患者血压，对于收缩压&lt;90mmHg的患者，不建议使用此类药物。</w:t>
      </w:r>
    </w:p>
    <w:p>
      <w:pPr>
        <w:pageBreakBefore w:val="0"/>
        <w:widowControl/>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val="en-US" w:eastAsia="zh-CN" w:bidi="ar"/>
        </w:rPr>
        <w:t xml:space="preserve">    </w:t>
      </w:r>
      <w:r>
        <w:rPr>
          <w:rFonts w:hint="eastAsia" w:ascii="仿宋_GB2312" w:hAnsi="仿宋_GB2312" w:eastAsia="仿宋_GB2312" w:cs="仿宋_GB2312"/>
          <w:b/>
          <w:bCs/>
          <w:color w:val="231F20"/>
          <w:kern w:val="0"/>
          <w:sz w:val="32"/>
          <w:szCs w:val="32"/>
          <w:lang w:bidi="ar"/>
        </w:rPr>
        <w:t>正性肌力药</w:t>
      </w:r>
      <w:r>
        <w:rPr>
          <w:rFonts w:hint="eastAsia" w:ascii="仿宋_GB2312" w:hAnsi="仿宋_GB2312" w:eastAsia="仿宋_GB2312" w:cs="仿宋_GB2312"/>
          <w:color w:val="231F20"/>
          <w:kern w:val="0"/>
          <w:sz w:val="32"/>
          <w:szCs w:val="32"/>
          <w:lang w:bidi="ar"/>
        </w:rPr>
        <w:t>：常用药物包括β受体兴奋剂、洋地黄类制剂、磷酸二酯酶抑制剂（米力农等）、钙增敏剂（左西孟旦）。对于急性心梗期的心衰患者，应谨慎使用正性肌力药物。STEMI患者PCI后伴急性心衰时，使用左西孟旦能够改善心肌收缩，患者耐受良好且不增加心律失常风险；而对于急性心梗伴心源性休克的患者，荟萃分析显示，左西孟旦能够改善心功能和血流动力学参数，但在生存预后方面的获益尚不明确。急性心梗24h内不建议使用洋地黄类药物。</w:t>
      </w:r>
    </w:p>
    <w:p>
      <w:pPr>
        <w:pageBreakBefore w:val="0"/>
        <w:widowControl/>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val="en-US" w:eastAsia="zh-CN" w:bidi="ar"/>
        </w:rPr>
        <w:t xml:space="preserve">    </w:t>
      </w:r>
      <w:r>
        <w:rPr>
          <w:rFonts w:hint="eastAsia" w:ascii="仿宋_GB2312" w:hAnsi="仿宋_GB2312" w:eastAsia="仿宋_GB2312" w:cs="仿宋_GB2312"/>
          <w:b/>
          <w:bCs/>
          <w:color w:val="231F20"/>
          <w:kern w:val="0"/>
          <w:sz w:val="32"/>
          <w:szCs w:val="32"/>
          <w:lang w:bidi="ar"/>
        </w:rPr>
        <w:t>血管收缩剂</w:t>
      </w:r>
      <w:r>
        <w:rPr>
          <w:rFonts w:hint="eastAsia" w:ascii="仿宋_GB2312" w:hAnsi="仿宋_GB2312" w:eastAsia="仿宋_GB2312" w:cs="仿宋_GB2312"/>
          <w:color w:val="231F20"/>
          <w:kern w:val="0"/>
          <w:sz w:val="32"/>
          <w:szCs w:val="32"/>
          <w:lang w:bidi="ar"/>
        </w:rPr>
        <w:t>：在补充有效血容量基础上，血压急剧下降或出现低灌注表现时，可用血管收缩剂暂时提升血压，一旦症状缓解，立即减量乃至停用。血管收缩药物应用不当可能导致心律失常甚至加重心肌缺血。心源性休克时可首选去甲肾上腺素。</w:t>
      </w:r>
    </w:p>
    <w:p>
      <w:pPr>
        <w:pageBreakBefore w:val="0"/>
        <w:widowControl/>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val="en-US" w:eastAsia="zh-CN" w:bidi="ar"/>
        </w:rPr>
        <w:t xml:space="preserve">    </w:t>
      </w:r>
      <w:r>
        <w:rPr>
          <w:rFonts w:hint="eastAsia" w:ascii="仿宋_GB2312" w:hAnsi="仿宋_GB2312" w:eastAsia="仿宋_GB2312" w:cs="仿宋_GB2312"/>
          <w:b/>
          <w:bCs/>
          <w:color w:val="231F20"/>
          <w:kern w:val="0"/>
          <w:sz w:val="32"/>
          <w:szCs w:val="32"/>
          <w:lang w:bidi="ar"/>
        </w:rPr>
        <w:t>改善预后的药物</w:t>
      </w:r>
      <w:r>
        <w:rPr>
          <w:rFonts w:hint="eastAsia" w:ascii="仿宋_GB2312" w:hAnsi="仿宋_GB2312" w:eastAsia="仿宋_GB2312" w:cs="仿宋_GB2312"/>
          <w:color w:val="231F20"/>
          <w:kern w:val="0"/>
          <w:sz w:val="32"/>
          <w:szCs w:val="32"/>
          <w:lang w:bidi="ar"/>
        </w:rPr>
        <w:t>：在血流动力学稳定后应尽早启用，包括β受体阻滞剂、ACEI或ARB或ARNI、醛固酮受体拮抗剂，根据病情适当调整用量。对于有慢性心衰病史的患者，可以起始使用ARNI代替ACEI或ARB，血流动力学稳定后尽早使用。</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6.1.5 心肌梗死后机械并发症的处理</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游离壁破裂</w:t>
      </w:r>
      <w:r>
        <w:rPr>
          <w:rFonts w:hint="eastAsia" w:ascii="仿宋_GB2312" w:hAnsi="仿宋_GB2312" w:eastAsia="仿宋_GB2312" w:cs="仿宋_GB2312"/>
          <w:color w:val="231F20"/>
          <w:kern w:val="0"/>
          <w:sz w:val="32"/>
          <w:szCs w:val="32"/>
          <w:lang w:bidi="ar"/>
        </w:rPr>
        <w:t>：游离壁破裂多见于心梗后24h内以及1周左右，多表现为突发的意识丧失、休克、电机械分离和急性心脏压塞。疑诊游离壁破裂时应立即行床旁超声心动图检查进行确认。治疗需尽快外科手术，术前内科治疗的目标是稳定患者血流动力学状态，必要时可行机械循环支持。</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室间隔穿孔</w:t>
      </w:r>
      <w:r>
        <w:rPr>
          <w:rFonts w:hint="eastAsia" w:ascii="仿宋_GB2312" w:hAnsi="仿宋_GB2312" w:eastAsia="仿宋_GB2312" w:cs="仿宋_GB2312"/>
          <w:color w:val="231F20"/>
          <w:kern w:val="0"/>
          <w:sz w:val="32"/>
          <w:szCs w:val="32"/>
          <w:lang w:bidi="ar"/>
        </w:rPr>
        <w:t>：室间隔穿孔最早可在心梗后24h内出现，表现为临床情况突然恶化，出现心衰或心源性休克。血管扩张剂联合IABP有助于改善症状。血流动力学不稳定者宜及早手术（1周内），在行室间隔修补术的同时行CABG，但早期手术病死率高；血流动力学稳定者宜在3-4周后手术治疗。</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乳头肌或腱索断裂</w:t>
      </w:r>
      <w:r>
        <w:rPr>
          <w:rFonts w:hint="eastAsia" w:ascii="仿宋_GB2312" w:hAnsi="仿宋_GB2312" w:eastAsia="仿宋_GB2312" w:cs="仿宋_GB2312"/>
          <w:color w:val="231F20"/>
          <w:kern w:val="0"/>
          <w:sz w:val="32"/>
          <w:szCs w:val="32"/>
          <w:lang w:bidi="ar"/>
        </w:rPr>
        <w:t>：此并发症多出现在心梗后2-7d，往往导致急性二尖瓣反流，表现为突发的急性左心衰、肺水肿甚至心源性休克。可使用利尿剂、血管扩张剂等以及IABP等降低左心室后负荷，必要时可使用正性肌力药物。此类患者宜尽早外科手术。</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6.2 心肌梗死后慢性心力衰竭的治疗</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6.2.1 治疗目标</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心梗后慢性心衰的治疗目标主要是改善临床症状和生活质量，减缓或逆转心脏重构，减少再住院，降低死亡率。</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6.2.2 药物治疗</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利尿剂</w:t>
      </w:r>
      <w:r>
        <w:rPr>
          <w:rFonts w:hint="eastAsia" w:ascii="仿宋_GB2312" w:hAnsi="仿宋_GB2312" w:eastAsia="仿宋_GB2312" w:cs="仿宋_GB2312"/>
          <w:color w:val="231F20"/>
          <w:kern w:val="0"/>
          <w:sz w:val="32"/>
          <w:szCs w:val="32"/>
          <w:lang w:bidi="ar"/>
        </w:rPr>
        <w:t>：有液体潴留表现的患者应使用利尿剂，多使用口服利尿剂，包括袢利尿剂、噻嗪类利尿剂和保钾利尿剂。长期使用较大剂量利尿剂可能会导致RAAS激活和电解质紊乱，因此推荐使用维持剂量，即以最小的剂量长期维持患者在“干重状态 ”。</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β受体阻滞剂</w:t>
      </w:r>
      <w:r>
        <w:rPr>
          <w:rFonts w:hint="eastAsia" w:ascii="仿宋_GB2312" w:hAnsi="仿宋_GB2312" w:eastAsia="仿宋_GB2312" w:cs="仿宋_GB2312"/>
          <w:color w:val="231F20"/>
          <w:kern w:val="0"/>
          <w:sz w:val="32"/>
          <w:szCs w:val="32"/>
          <w:lang w:bidi="ar"/>
        </w:rPr>
        <w:t>：除非存在禁忌，所有心梗后心衰患者均应接受β受体阻滞剂治疗。对LVEF&lt;40%的HFrEF患者，β受体阻滞剂一般应以小剂量起始，每2-4周递增，直至达到目标剂量或最大耐受剂量。目前，美托洛尔、比索洛尔和卡维地洛是三种获得指南推荐的用于心衰治疗的药物，可降低心衰患者死亡率和（或）住院率。</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ACEI</w:t>
      </w:r>
      <w:r>
        <w:rPr>
          <w:rFonts w:hint="eastAsia" w:ascii="仿宋_GB2312" w:hAnsi="仿宋_GB2312" w:eastAsia="仿宋_GB2312" w:cs="仿宋_GB2312"/>
          <w:color w:val="231F20"/>
          <w:kern w:val="0"/>
          <w:sz w:val="32"/>
          <w:szCs w:val="32"/>
          <w:lang w:bidi="ar"/>
        </w:rPr>
        <w:t>：ACEI是HFrEF的基础治疗。对ACEI在心梗后心衰中的作用，AIRE研究纳入了2006例急性心梗后心衰患者，平均随访15个月的结果表明，服用雷米普利者的死亡率明显低于安慰剂对照组，相对危险度降低27%；次要终点的分析显示，服用雷米普利的患者中死亡、严重或顽固性心衰、心梗、脑卒中的复合终点发生风险降低了19%。除非有禁忌证或不能耐受，所有心梗后HFrEF 患者均应使用 ACEI。ACEI在心梗后心衰患者中的应用通常推荐从小剂量开始，在随访中逐渐增加剂量，直至达到目标剂量或最大耐受剂量。</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ARB</w:t>
      </w:r>
      <w:r>
        <w:rPr>
          <w:rFonts w:hint="eastAsia" w:ascii="仿宋_GB2312" w:hAnsi="仿宋_GB2312" w:eastAsia="仿宋_GB2312" w:cs="仿宋_GB2312"/>
          <w:color w:val="231F20"/>
          <w:kern w:val="0"/>
          <w:sz w:val="32"/>
          <w:szCs w:val="32"/>
          <w:lang w:bidi="ar"/>
        </w:rPr>
        <w:t>：对ACEI治疗不能耐受的患者，可换用ARB。常用药物包括缬沙坦、氯沙坦、坎地沙坦等。建议 ARB类药物从小剂量起始应用，逐步增至推荐剂量或可耐受的最大剂量。</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ARNI</w:t>
      </w:r>
      <w:r>
        <w:rPr>
          <w:rFonts w:hint="eastAsia" w:ascii="仿宋_GB2312" w:hAnsi="仿宋_GB2312" w:eastAsia="仿宋_GB2312" w:cs="仿宋_GB2312"/>
          <w:color w:val="231F20"/>
          <w:kern w:val="0"/>
          <w:sz w:val="32"/>
          <w:szCs w:val="32"/>
          <w:lang w:bidi="ar"/>
        </w:rPr>
        <w:t>：沙库巴曲缬沙坦是首个ARNI类药物，通过抑制血管紧张素受体和脑啡肽酶起到阻滞AT1受体和增强利钠肽系统的作用。PARADIGMHF 研究发现，沙库巴曲缬沙坦较依那普利可进一步降低主要终点（心血管死亡或心衰住院的复合终点）发生风险、预先定义的更广泛的复合终点（包括心梗、脑卒中和心脏复苏后猝死）发生风险以及事后分析冠脉复合终点（包括心血管死亡、非致死性心梗、心绞痛住院或冠脉血管重建）发生风险。对于 NYHA心功能Ⅱ-Ⅲ级、有症状的心梗后 HFrEF 患者，若能够耐受ACEI或ARB，可考虑以ARNI替代ACEI或ARB，以进一步改善预后。</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醛固酮受体拮抗剂</w:t>
      </w:r>
      <w:r>
        <w:rPr>
          <w:rFonts w:hint="eastAsia" w:ascii="仿宋_GB2312" w:hAnsi="仿宋_GB2312" w:eastAsia="仿宋_GB2312" w:cs="仿宋_GB2312"/>
          <w:color w:val="231F20"/>
          <w:kern w:val="0"/>
          <w:sz w:val="32"/>
          <w:szCs w:val="32"/>
          <w:lang w:bidi="ar"/>
        </w:rPr>
        <w:t>：长期应用ACEI或ARB，存在醛固酮“逃逸现象”。因此，在ACEI或ARB基础上加用醛固酮受体拮抗剂，有助于进一步抑制醛固酮的有害作用，常用醛固酮拮抗剂有依普利酮和螺内酯。对于NYHA心功能Ⅱ-Ⅳ级、LVEF≤35%、已使用ACEI（或ARB或ARNI）和β受体阻滞剂治疗、仍持续有症状的患者，可加用醛固酮受体拮抗剂。</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伊伐布雷定</w:t>
      </w:r>
      <w:r>
        <w:rPr>
          <w:rFonts w:hint="eastAsia" w:ascii="仿宋_GB2312" w:hAnsi="仿宋_GB2312" w:eastAsia="仿宋_GB2312" w:cs="仿宋_GB2312"/>
          <w:color w:val="231F20"/>
          <w:kern w:val="0"/>
          <w:sz w:val="32"/>
          <w:szCs w:val="32"/>
          <w:lang w:bidi="ar"/>
        </w:rPr>
        <w:t>：伊伐布雷定的使用能够改善HFrEF患者左心室功能和生活质量，在NYHA心功能Ⅱ</w:t>
      </w:r>
      <w:r>
        <w:rPr>
          <w:rFonts w:hint="eastAsia" w:ascii="仿宋_GB2312" w:hAnsi="仿宋_GB2312" w:eastAsia="仿宋_GB2312" w:cs="仿宋_GB2312"/>
          <w:color w:val="231F20"/>
          <w:kern w:val="0"/>
          <w:sz w:val="32"/>
          <w:szCs w:val="32"/>
          <w:lang w:val="en-US" w:eastAsia="zh-CN" w:bidi="ar"/>
        </w:rPr>
        <w:t>-</w:t>
      </w:r>
      <w:r>
        <w:rPr>
          <w:rFonts w:hint="eastAsia" w:ascii="仿宋_GB2312" w:hAnsi="仿宋_GB2312" w:eastAsia="仿宋_GB2312" w:cs="仿宋_GB2312"/>
          <w:color w:val="231F20"/>
          <w:kern w:val="0"/>
          <w:sz w:val="32"/>
          <w:szCs w:val="32"/>
          <w:lang w:bidi="ar"/>
        </w:rPr>
        <w:t>Ⅳ级、LVEF≤35%的窦性心律患者中，对于已经使用ACEI（或ARB或ARNI）、β受体阻滞剂等药物规范治疗而心率仍≥70次/min，或心率≥70次/min且对β受体阻滞剂禁忌或不能耐受者，推荐使用依伐布雷定。</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SGLT2抑制剂</w:t>
      </w:r>
      <w:r>
        <w:rPr>
          <w:rFonts w:hint="eastAsia" w:ascii="仿宋_GB2312" w:hAnsi="仿宋_GB2312" w:eastAsia="仿宋_GB2312" w:cs="仿宋_GB2312"/>
          <w:color w:val="231F20"/>
          <w:kern w:val="0"/>
          <w:sz w:val="32"/>
          <w:szCs w:val="32"/>
          <w:lang w:bidi="ar"/>
        </w:rPr>
        <w:t>：钠-葡萄糖共转运蛋白2（sodium-dependent glucose transporters 2，SGLT2）抑制剂被证实具有心血管保护作用。DAPA-HF 研究纳入4744 例HFrEF患者，随机给予达格列净（10mg，1次/d）或安慰剂治疗，主要终点为心血管死亡、因心衰住院和因心衰于急诊就诊的复合终点，研究结果显示，对于HFrEF患者，应用达格列净可显著降低主要终点事件、全因死亡和心血管死亡风险。</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维利西呱:</w:t>
      </w:r>
      <w:r>
        <w:rPr>
          <w:rFonts w:hint="eastAsia" w:ascii="仿宋_GB2312" w:hAnsi="仿宋_GB2312" w:eastAsia="仿宋_GB2312" w:cs="仿宋_GB2312"/>
          <w:color w:val="231F20"/>
          <w:kern w:val="0"/>
          <w:sz w:val="32"/>
          <w:szCs w:val="32"/>
          <w:lang w:bidi="ar"/>
        </w:rPr>
        <w:t>维利西呱（vericiguat）是一种口服的可溶性鸟苷酸环化酶激活剂。VICTORIA 研究发现，维利西呱显著降低心血管死亡或首次因心衰住院的复合终点事件发生风险（降幅为10%），提示维利西呱可为 HFrEF 患者带来获益。</w:t>
      </w:r>
    </w:p>
    <w:p>
      <w:pPr>
        <w:pageBreakBefore w:val="0"/>
        <w:widowControl/>
        <w:kinsoku/>
        <w:wordWrap/>
        <w:overflowPunct/>
        <w:topLinePunct w:val="0"/>
        <w:autoSpaceDE/>
        <w:autoSpaceDN/>
        <w:bidi w:val="0"/>
        <w:adjustRightInd w:val="0"/>
        <w:snapToGrid w:val="0"/>
        <w:spacing w:line="590" w:lineRule="exact"/>
        <w:ind w:right="0" w:rightChars="0" w:firstLine="422"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b/>
          <w:bCs/>
          <w:color w:val="231F20"/>
          <w:kern w:val="0"/>
          <w:sz w:val="32"/>
          <w:szCs w:val="32"/>
          <w:lang w:bidi="ar"/>
        </w:rPr>
        <w:t>其他药物：</w:t>
      </w:r>
      <w:r>
        <w:rPr>
          <w:rFonts w:hint="eastAsia" w:ascii="仿宋_GB2312" w:hAnsi="仿宋_GB2312" w:eastAsia="仿宋_GB2312" w:cs="仿宋_GB2312"/>
          <w:color w:val="231F20"/>
          <w:kern w:val="0"/>
          <w:sz w:val="32"/>
          <w:szCs w:val="32"/>
          <w:lang w:bidi="ar"/>
        </w:rPr>
        <w:t>如洋地黄类药物、血管扩张剂（硝酸酯、肼屈嗪）、改善能量代谢药物（如曲美他嗪、辅酶 Q10、左卡尼汀、磷酸肌酸等）以及芪苈强心胶囊等可以改善慢性心衰患者的临床症状、心脏功能和生活质量，但对心梗后慢性心衰患者的长期和短期临床预后的影响尚无确切证据。</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 心肌梗死后心力衰竭的非药物治疗</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6.3.1 机械通气</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包括无创呼吸机辅助通气、气管插管和人工机械通气，适用于心跳、呼吸骤停进行心肺复苏的患者及合并Ⅰ型或Ⅱ型呼吸衰竭的患者。常规氧疗方法效果不满意时，应尽早使用无创正压通气。经积极治疗后病情仍继续恶化或不能耐受无创正压通气或存在无创正压通气治疗禁忌证者，应及时予以气管插管，行有创机械通气。</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6.3.2 血液净化治疗</w:t>
      </w:r>
    </w:p>
    <w:p>
      <w:pPr>
        <w:pageBreakBefore w:val="0"/>
        <w:widowControl/>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val="en-US" w:eastAsia="zh-CN" w:bidi="ar"/>
        </w:rPr>
        <w:t xml:space="preserve">    </w:t>
      </w:r>
      <w:r>
        <w:rPr>
          <w:rFonts w:hint="eastAsia" w:ascii="仿宋_GB2312" w:hAnsi="仿宋_GB2312" w:eastAsia="仿宋_GB2312" w:cs="仿宋_GB2312"/>
          <w:color w:val="231F20"/>
          <w:kern w:val="0"/>
          <w:sz w:val="32"/>
          <w:szCs w:val="32"/>
          <w:lang w:bidi="ar"/>
        </w:rPr>
        <w:t>单纯血液滤过适合发生急性肺水肿且对袢利尿剂和噻嗪类利尿剂抵抗或血钠水平&lt;110mmol/L且有神经精神症状者；合并肾功能进行性减退、血肌酐水平&gt;500µmol/L者，适合血液透析等净化治疗。</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6.3.3 主动脉内球囊反搏</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当急性心梗导致急性心衰伴血流动力学障碍、严重心肌缺血并发心源性休克，且不能由药物纠正时，可以给予IABP治疗。</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6.3.4 心室机械辅助装置</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经常规治疗病情无明显缓解者，可行短期ECMO、心室辅助泵治疗。</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6.3.5 心脏再同步化治疗</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心梗后心衰患者，在规范治疗至少3个月后若符合：窦性心律、QRS时限≥150ms、左束支阻滞、LVEF≤35%、有心衰症状，推荐 CRT。</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6.3.6 埋藏式心脏复律除颤器</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对于缺血性心脏病患者，心梗后至少40d及血运重建后至少90d，预期生存期＞1年，经指南指导的优化药物治疗3个月以上后心功能仍为Ⅱ-Ⅲ级、LVEF≤35%、 状态良好的患者，推荐植入ICD，以预防猝死发作。</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6.3.7 血运重建</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与单纯的药物治疗相比，冠脉血运重建术在改善缺血性心衰患者的生存率方面更有优势。心脏团队应在仔细评估患者的临床状况、冠脉解剖、预期的血运重建完整性、心肌存活能力、同时存在的瓣膜疾病和共病后，确定选择CABG还是PCI。</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6.3.8 室壁瘤的治疗</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合并室壁瘤的顽固性心衰患者可行室壁瘤切除术，切除矛盾运动的室壁，尽可能地恢复左心室形态。经皮心室重建术是一项治疗左心室室壁瘤合并心衰患者的新技术，利用一种新型的左心室分隔装置（又称降落伞装置）来减少左心室舒张、收缩末期容积和收缩期室内分流，从而达到增加左心室射血量、改善心功能和临床症状的目的，但其临床应用价值有待进一步验证。</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6.3.9 心脏移植</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对于心功能受到严重损害且其他治疗方法不适用的重度心衰患者，心脏移植可作为最后的选择。</w:t>
      </w:r>
    </w:p>
    <w:p>
      <w:pPr>
        <w:pageBreakBefore w:val="0"/>
        <w:widowControl/>
        <w:kinsoku/>
        <w:wordWrap/>
        <w:overflowPunct/>
        <w:topLinePunct w:val="0"/>
        <w:autoSpaceDE/>
        <w:autoSpaceDN/>
        <w:bidi w:val="0"/>
        <w:adjustRightInd w:val="0"/>
        <w:snapToGrid w:val="0"/>
        <w:spacing w:line="590" w:lineRule="exact"/>
        <w:ind w:right="0" w:rightChars="0"/>
        <w:jc w:val="both"/>
        <w:textAlignment w:val="auto"/>
        <w:rPr>
          <w:rStyle w:val="8"/>
          <w:rFonts w:hint="eastAsia" w:ascii="仿宋_GB2312" w:hAnsi="仿宋_GB2312" w:eastAsia="仿宋_GB2312" w:cs="仿宋_GB2312"/>
          <w:sz w:val="32"/>
          <w:szCs w:val="32"/>
        </w:rPr>
      </w:pPr>
      <w:r>
        <w:rPr>
          <w:rStyle w:val="8"/>
          <w:rFonts w:hint="eastAsia" w:ascii="仿宋_GB2312" w:hAnsi="仿宋_GB2312" w:eastAsia="仿宋_GB2312" w:cs="仿宋_GB2312"/>
          <w:sz w:val="32"/>
          <w:szCs w:val="32"/>
          <w:lang w:val="en-US" w:eastAsia="zh-CN"/>
        </w:rPr>
        <w:t xml:space="preserve">    </w:t>
      </w:r>
      <w:r>
        <w:rPr>
          <w:rStyle w:val="8"/>
          <w:rFonts w:hint="eastAsia" w:ascii="仿宋_GB2312" w:hAnsi="仿宋_GB2312" w:eastAsia="仿宋_GB2312" w:cs="仿宋_GB2312"/>
          <w:sz w:val="32"/>
          <w:szCs w:val="32"/>
        </w:rPr>
        <w:t>7心肌梗死后心力衰竭患者的管理</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7.1 随访频率和内容</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推荐患者出院后每2周、病情稳定后每1-2个月复诊一次，测量血压、心率，临床评估心功能。必要时行血常规、肾功能、电解质、利钠肽、心电图以及超声心动图检查，超声心动图每3个月复查一次。根据检查结果进行治疗方案调整，同时注意对合并症的管理。</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7.2 多学科管理方案</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患者应遵循医疗方案，遵守饮食和锻炼建议，根据医生建议规范使用药物，改变生活习惯，从而带来更多获益。</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7.2.1 生活方式管理</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合理膳食：坚持低钠饮食，建议轻度心衰患者每日摄入食盐 2-3g，中重度心衰患者每日摄入食盐&lt;2g，重度心衰患者每日最多饮水1.5-2.0L。注意保持大便通畅；每日称体重及监测血压、心率；戒烟；注意休息，勿劳累，避免感染；同时，鼓励病情稳定的患者进行适当运动，以日常体力活动为主，运动以不出现心衰症状为宜；控制高血压、糖尿病等心血管疾病危险因素。</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7.2.2 健康教育</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普及相关医学知识，包括心衰患者的饮食和锻炼、心衰症状的早期检测和处理、药物治疗等。教会心衰患者及其家属如何识别心衰症状及恶化征兆，提高患者自我管理的参与度，提高治疗依从性。</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7.2.3 心理教育</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有计划地指导患者进行心理疏导，避免在应对疾病的过程中出现各种社会心理行为问题。保持良好的精神状态有利于缓解病情、减少心衰急性发作。</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7.2.4 运动康复</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安静卧床是心衰加重时治疗的基本原则，但长期卧床会导致一系列并发症，患者心衰症状改善后应鼓励患者适当运动。运动康复适应证为NYHA心功能Ⅰ-Ⅲ级的稳定性心衰。禁忌证包括：急性冠脉综合征早期、恶性心律失常、高度房室阻滞、急性心肌炎、感染性心内膜炎、急性心衰、未控制的高血压、严重主动脉瓣狭窄、梗阻性肥厚型心肌病、心腔内血栓等。中国慢性心衰患者运动康复仍处于发展阶段，临床医师应通过教育帮助患者树立长期运动的信心，循序渐进地指导患者进行运动，逐渐培养患者定期进行运动训练的习惯。禁忌剧烈运动及饱餐后运动，如运动中出现任何不适（如胸痛、呼吸困难等症状），应立即停止运动，若经休息或服药后上述不适症状仍无明显缓解，应立即就诊。伴有糖尿病的心衰患者需格外重视血糖监测。</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7.2.5 远程监控</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远程监控对心梗后心衰患者的院外管理越来越重要，包括居家远程监控、植入式血流动力学监测系统、移动健康技术和心衰患者日记等。远程监控便于医生及时了解患者的病情变化，并指导调整院外治疗方案。目前证实，居家远程监控能明显改善患者的生活质量，但其远期临床获益仍有待大规模临床研究认证。</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7.2.6 心力衰竭中心的作用</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中国于2017年开始了全国范围的心衰中心建设和认证项目，先后颁布了标准版和基层版中国心衰中心认证标准，旨在通过区域性心衰中心的建立，推进心衰规范化诊疗和管理。心梗后心衰患者的长期随访是心衰中心建设工作的重要部分，依托心衰中心，能够更好地对心梗后心衰患者进行院内和院外管理，最终达到提高生活质量、改善预后的目的。</w:t>
      </w:r>
    </w:p>
    <w:p>
      <w:pPr>
        <w:pageBreakBefore w:val="0"/>
        <w:widowControl/>
        <w:kinsoku/>
        <w:wordWrap/>
        <w:overflowPunct/>
        <w:topLinePunct w:val="0"/>
        <w:autoSpaceDE/>
        <w:autoSpaceDN/>
        <w:bidi w:val="0"/>
        <w:adjustRightInd w:val="0"/>
        <w:snapToGrid w:val="0"/>
        <w:spacing w:line="590" w:lineRule="exact"/>
        <w:ind w:right="0" w:rightChars="0"/>
        <w:jc w:val="both"/>
        <w:textAlignment w:val="auto"/>
        <w:rPr>
          <w:rStyle w:val="8"/>
          <w:rFonts w:hint="eastAsia" w:ascii="仿宋_GB2312" w:hAnsi="仿宋_GB2312" w:eastAsia="仿宋_GB2312" w:cs="仿宋_GB2312"/>
          <w:sz w:val="32"/>
          <w:szCs w:val="32"/>
        </w:rPr>
      </w:pPr>
      <w:r>
        <w:rPr>
          <w:rStyle w:val="8"/>
          <w:rFonts w:hint="eastAsia" w:ascii="仿宋_GB2312" w:hAnsi="仿宋_GB2312" w:eastAsia="仿宋_GB2312" w:cs="仿宋_GB2312"/>
          <w:sz w:val="32"/>
          <w:szCs w:val="32"/>
          <w:lang w:val="en-US" w:eastAsia="zh-CN"/>
        </w:rPr>
        <w:t xml:space="preserve">    </w:t>
      </w:r>
      <w:r>
        <w:rPr>
          <w:rStyle w:val="8"/>
          <w:rFonts w:hint="eastAsia" w:ascii="仿宋_GB2312" w:hAnsi="仿宋_GB2312" w:eastAsia="仿宋_GB2312" w:cs="仿宋_GB2312"/>
          <w:sz w:val="32"/>
          <w:szCs w:val="32"/>
        </w:rPr>
        <w:t>8小结</w:t>
      </w:r>
    </w:p>
    <w:p>
      <w:pPr>
        <w:pageBreakBefore w:val="0"/>
        <w:widowControl/>
        <w:kinsoku/>
        <w:wordWrap/>
        <w:overflowPunct/>
        <w:topLinePunct w:val="0"/>
        <w:autoSpaceDE/>
        <w:autoSpaceDN/>
        <w:bidi w:val="0"/>
        <w:adjustRightInd w:val="0"/>
        <w:snapToGrid w:val="0"/>
        <w:spacing w:line="590" w:lineRule="exact"/>
        <w:ind w:right="0" w:rightChars="0" w:firstLine="4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231F20"/>
          <w:kern w:val="0"/>
          <w:sz w:val="32"/>
          <w:szCs w:val="32"/>
          <w:lang w:bidi="ar"/>
        </w:rPr>
        <w:t>心衰是心梗后的常见并发症，心梗后心衰的发生显著增加患者死亡率和再入院率，并严重影响患者的生活质量，带来巨大的社会经济负担。目前，中国心梗后心衰疾病负担严重，只有不断加强临床医师对心梗后心衰的预防、诊断、治疗以及管理意识，才能在现有的诊疗手段基础上改善患者的临床结局。本文就心梗后心衰相关的临床关键问题进行了讨论和总结，并推荐了临床诊疗方案和管理模式，上述内容还需要在今后的临床实践中验证并加以优化。</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备注：</w:t>
      </w:r>
      <w:r>
        <w:rPr>
          <w:rFonts w:hint="eastAsia" w:ascii="仿宋_GB2312" w:hAnsi="仿宋_GB2312" w:eastAsia="仿宋_GB2312" w:cs="仿宋_GB2312"/>
          <w:sz w:val="32"/>
          <w:szCs w:val="32"/>
        </w:rPr>
        <w:t>本文摘自：中国医师协会心血管内科医师分会，中国心血管健康联盟，心肌梗死后心力衰竭防治专家共识工作组.2020心肌梗死后心力衰竭防治专家共识.中国循环杂志,2020,35(12):1166-1179.</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附测试题    </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下列属于心力衰竭的常见病因的是（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A.水电解质紊乱</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B.肺部感染</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C.感染</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D.冠状动脉粥样硬化性心脏病</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E.洋地黄用量不当</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老年心力衰竭患者症状加重最常见的诱因是（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过度劳累</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摄入液体过多</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心肌缺血</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室性期前收缩</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sz w:val="32"/>
          <w:szCs w:val="32"/>
        </w:rPr>
        <w:t>呼吸道感染</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单纯左心衰竭的典型体征是（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下垂型对称性水肿</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肝颈静脉回流征阳性</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双肺底闻及啰音</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胸腔积液</w:t>
      </w:r>
    </w:p>
    <w:p>
      <w:pPr>
        <w:pageBreakBefore w:val="0"/>
        <w:numPr>
          <w:ilvl w:val="0"/>
          <w:numId w:val="0"/>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sz w:val="32"/>
          <w:szCs w:val="32"/>
        </w:rPr>
        <w:t>颈静脉怒张</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右心衰竭的主要体征是（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pageBreakBefore w:val="0"/>
        <w:numPr>
          <w:ilvl w:val="0"/>
          <w:numId w:val="1"/>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动脉压下降</w:t>
      </w:r>
    </w:p>
    <w:p>
      <w:pPr>
        <w:pageBreakBefore w:val="0"/>
        <w:numPr>
          <w:ilvl w:val="0"/>
          <w:numId w:val="1"/>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颈静脉怒张</w:t>
      </w:r>
    </w:p>
    <w:p>
      <w:pPr>
        <w:pageBreakBefore w:val="0"/>
        <w:numPr>
          <w:ilvl w:val="0"/>
          <w:numId w:val="1"/>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心音低钝</w:t>
      </w:r>
    </w:p>
    <w:p>
      <w:pPr>
        <w:pageBreakBefore w:val="0"/>
        <w:numPr>
          <w:ilvl w:val="0"/>
          <w:numId w:val="1"/>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急性肺水肿</w:t>
      </w:r>
    </w:p>
    <w:p>
      <w:pPr>
        <w:pageBreakBefore w:val="0"/>
        <w:numPr>
          <w:ilvl w:val="0"/>
          <w:numId w:val="1"/>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端坐呼吸</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诊断心衰首选的检查（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pageBreakBefore w:val="0"/>
        <w:numPr>
          <w:ilvl w:val="0"/>
          <w:numId w:val="2"/>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胸片X片</w:t>
      </w:r>
    </w:p>
    <w:p>
      <w:pPr>
        <w:pageBreakBefore w:val="0"/>
        <w:numPr>
          <w:ilvl w:val="0"/>
          <w:numId w:val="2"/>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超声心动图</w:t>
      </w:r>
    </w:p>
    <w:p>
      <w:pPr>
        <w:pageBreakBefore w:val="0"/>
        <w:numPr>
          <w:ilvl w:val="0"/>
          <w:numId w:val="2"/>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左心室造影</w:t>
      </w:r>
    </w:p>
    <w:p>
      <w:pPr>
        <w:pageBreakBefore w:val="0"/>
        <w:numPr>
          <w:ilvl w:val="0"/>
          <w:numId w:val="2"/>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运动负荷试验</w:t>
      </w:r>
    </w:p>
    <w:p>
      <w:pPr>
        <w:pageBreakBefore w:val="0"/>
        <w:numPr>
          <w:ilvl w:val="0"/>
          <w:numId w:val="2"/>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心电图</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急性肺水肿抢救时不宜选用（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pageBreakBefore w:val="0"/>
        <w:numPr>
          <w:ilvl w:val="0"/>
          <w:numId w:val="3"/>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依那普利</w:t>
      </w:r>
    </w:p>
    <w:p>
      <w:pPr>
        <w:pageBreakBefore w:val="0"/>
        <w:numPr>
          <w:ilvl w:val="0"/>
          <w:numId w:val="3"/>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吗啡</w:t>
      </w:r>
    </w:p>
    <w:p>
      <w:pPr>
        <w:pageBreakBefore w:val="0"/>
        <w:numPr>
          <w:ilvl w:val="0"/>
          <w:numId w:val="3"/>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硝普纳</w:t>
      </w:r>
    </w:p>
    <w:p>
      <w:pPr>
        <w:pageBreakBefore w:val="0"/>
        <w:numPr>
          <w:ilvl w:val="0"/>
          <w:numId w:val="3"/>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呋塞米</w:t>
      </w:r>
    </w:p>
    <w:p>
      <w:pPr>
        <w:pageBreakBefore w:val="0"/>
        <w:numPr>
          <w:ilvl w:val="0"/>
          <w:numId w:val="3"/>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氨茶碱</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改善左心衰竭症状最有效的药物是（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ageBreakBefore w:val="0"/>
        <w:numPr>
          <w:ilvl w:val="0"/>
          <w:numId w:val="4"/>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利尿剂</w:t>
      </w:r>
    </w:p>
    <w:p>
      <w:pPr>
        <w:pageBreakBefore w:val="0"/>
        <w:numPr>
          <w:ilvl w:val="0"/>
          <w:numId w:val="4"/>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洋地黄</w:t>
      </w:r>
    </w:p>
    <w:p>
      <w:pPr>
        <w:pageBreakBefore w:val="0"/>
        <w:numPr>
          <w:ilvl w:val="0"/>
          <w:numId w:val="4"/>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钙离子拮抗剂</w:t>
      </w:r>
    </w:p>
    <w:p>
      <w:pPr>
        <w:pageBreakBefore w:val="0"/>
        <w:numPr>
          <w:ilvl w:val="0"/>
          <w:numId w:val="4"/>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β肾上腺素能受体阻滞剂</w:t>
      </w:r>
    </w:p>
    <w:p>
      <w:pPr>
        <w:pageBreakBefore w:val="0"/>
        <w:numPr>
          <w:ilvl w:val="0"/>
          <w:numId w:val="4"/>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血管紧张素转换酶抑制剂</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男性48岁，急性前壁心肌梗死15小时，合并急性左心功能不全，BP170/100mmHg，治疗其新功能不全首选（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ageBreakBefore w:val="0"/>
        <w:numPr>
          <w:ilvl w:val="0"/>
          <w:numId w:val="5"/>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β受体阻滞剂</w:t>
      </w:r>
    </w:p>
    <w:p>
      <w:pPr>
        <w:pageBreakBefore w:val="0"/>
        <w:numPr>
          <w:ilvl w:val="0"/>
          <w:numId w:val="5"/>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地高辛</w:t>
      </w:r>
    </w:p>
    <w:p>
      <w:pPr>
        <w:pageBreakBefore w:val="0"/>
        <w:numPr>
          <w:ilvl w:val="0"/>
          <w:numId w:val="5"/>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硝普纳</w:t>
      </w:r>
    </w:p>
    <w:p>
      <w:pPr>
        <w:pageBreakBefore w:val="0"/>
        <w:numPr>
          <w:ilvl w:val="0"/>
          <w:numId w:val="5"/>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卡托普利</w:t>
      </w:r>
    </w:p>
    <w:p>
      <w:pPr>
        <w:pageBreakBefore w:val="0"/>
        <w:numPr>
          <w:ilvl w:val="0"/>
          <w:numId w:val="5"/>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呋塞米</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下列关于心力衰竭说法错误的是（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pageBreakBefore w:val="0"/>
        <w:numPr>
          <w:ilvl w:val="0"/>
          <w:numId w:val="6"/>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心室充盈及（或）射血功能受损</w:t>
      </w:r>
    </w:p>
    <w:p>
      <w:pPr>
        <w:pageBreakBefore w:val="0"/>
        <w:numPr>
          <w:ilvl w:val="0"/>
          <w:numId w:val="6"/>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心排量可维持正常</w:t>
      </w:r>
    </w:p>
    <w:p>
      <w:pPr>
        <w:pageBreakBefore w:val="0"/>
        <w:numPr>
          <w:ilvl w:val="0"/>
          <w:numId w:val="6"/>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是伴有临床症状的心功能不全</w:t>
      </w:r>
    </w:p>
    <w:p>
      <w:pPr>
        <w:pageBreakBefore w:val="0"/>
        <w:numPr>
          <w:ilvl w:val="0"/>
          <w:numId w:val="6"/>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肺循环充血</w:t>
      </w:r>
    </w:p>
    <w:p>
      <w:pPr>
        <w:pageBreakBefore w:val="0"/>
        <w:numPr>
          <w:ilvl w:val="0"/>
          <w:numId w:val="6"/>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有心功能不全不一定有心力衰竭</w:t>
      </w: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231F20"/>
          <w:kern w:val="0"/>
          <w:sz w:val="32"/>
          <w:szCs w:val="32"/>
          <w:lang w:bidi="ar"/>
        </w:rPr>
        <w:t xml:space="preserve">对于心功能受到严重损害且其他治疗方法不适用的重度心衰患者，可选用（ </w:t>
      </w:r>
      <w:r>
        <w:rPr>
          <w:rFonts w:hint="eastAsia" w:ascii="仿宋_GB2312" w:hAnsi="仿宋_GB2312" w:eastAsia="仿宋_GB2312" w:cs="仿宋_GB2312"/>
          <w:color w:val="231F20"/>
          <w:kern w:val="0"/>
          <w:sz w:val="32"/>
          <w:szCs w:val="32"/>
          <w:lang w:val="en-US" w:eastAsia="zh-CN" w:bidi="ar"/>
        </w:rPr>
        <w:t xml:space="preserve"> </w:t>
      </w:r>
      <w:r>
        <w:rPr>
          <w:rFonts w:hint="eastAsia" w:ascii="仿宋_GB2312" w:hAnsi="仿宋_GB2312" w:eastAsia="仿宋_GB2312" w:cs="仿宋_GB2312"/>
          <w:color w:val="231F20"/>
          <w:kern w:val="0"/>
          <w:sz w:val="32"/>
          <w:szCs w:val="32"/>
          <w:lang w:bidi="ar"/>
        </w:rPr>
        <w:t>）</w:t>
      </w:r>
    </w:p>
    <w:p>
      <w:pPr>
        <w:pageBreakBefore w:val="0"/>
        <w:numPr>
          <w:ilvl w:val="0"/>
          <w:numId w:val="7"/>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改善生活方式</w:t>
      </w:r>
    </w:p>
    <w:p>
      <w:pPr>
        <w:pageBreakBefore w:val="0"/>
        <w:numPr>
          <w:ilvl w:val="0"/>
          <w:numId w:val="7"/>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ACEI</w:t>
      </w:r>
    </w:p>
    <w:p>
      <w:pPr>
        <w:pageBreakBefore w:val="0"/>
        <w:numPr>
          <w:ilvl w:val="0"/>
          <w:numId w:val="7"/>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洋地黄</w:t>
      </w:r>
    </w:p>
    <w:p>
      <w:pPr>
        <w:pageBreakBefore w:val="0"/>
        <w:numPr>
          <w:ilvl w:val="0"/>
          <w:numId w:val="7"/>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呋塞米</w:t>
      </w:r>
    </w:p>
    <w:p>
      <w:pPr>
        <w:pageBreakBefore w:val="0"/>
        <w:numPr>
          <w:ilvl w:val="0"/>
          <w:numId w:val="7"/>
        </w:numPr>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r>
        <w:rPr>
          <w:rFonts w:hint="eastAsia" w:ascii="仿宋_GB2312" w:hAnsi="仿宋_GB2312" w:eastAsia="仿宋_GB2312" w:cs="仿宋_GB2312"/>
          <w:color w:val="231F20"/>
          <w:kern w:val="0"/>
          <w:sz w:val="32"/>
          <w:szCs w:val="32"/>
          <w:lang w:bidi="ar"/>
        </w:rPr>
        <w:t>心脏移植</w:t>
      </w:r>
    </w:p>
    <w:p>
      <w:pPr>
        <w:pageBreakBefore w:val="0"/>
        <w:tabs>
          <w:tab w:val="left" w:pos="312"/>
        </w:tabs>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p>
    <w:p>
      <w:pPr>
        <w:pageBreakBefore w:val="0"/>
        <w:tabs>
          <w:tab w:val="left" w:pos="312"/>
        </w:tabs>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color w:val="231F20"/>
          <w:kern w:val="0"/>
          <w:sz w:val="32"/>
          <w:szCs w:val="32"/>
          <w:lang w:bidi="ar"/>
        </w:rPr>
      </w:pP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仿宋_GB2312" w:hAnsi="仿宋_GB2312" w:eastAsia="仿宋_GB2312" w:cs="仿宋_GB2312"/>
          <w:sz w:val="32"/>
          <w:szCs w:val="32"/>
        </w:rPr>
      </w:pPr>
    </w:p>
    <w:sectPr>
      <w:headerReference r:id="rId3" w:type="default"/>
      <w:footerReference r:id="rId4" w:type="default"/>
      <w:endnotePr>
        <w:numFmt w:val="decimal"/>
      </w:endnote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16433"/>
    <w:multiLevelType w:val="singleLevel"/>
    <w:tmpl w:val="C3A16433"/>
    <w:lvl w:ilvl="0" w:tentative="0">
      <w:start w:val="1"/>
      <w:numFmt w:val="upperLetter"/>
      <w:lvlText w:val="%1."/>
      <w:lvlJc w:val="left"/>
      <w:pPr>
        <w:tabs>
          <w:tab w:val="left" w:pos="312"/>
        </w:tabs>
      </w:pPr>
    </w:lvl>
  </w:abstractNum>
  <w:abstractNum w:abstractNumId="1">
    <w:nsid w:val="CC0B7CEC"/>
    <w:multiLevelType w:val="singleLevel"/>
    <w:tmpl w:val="CC0B7CEC"/>
    <w:lvl w:ilvl="0" w:tentative="0">
      <w:start w:val="1"/>
      <w:numFmt w:val="upperLetter"/>
      <w:lvlText w:val="%1."/>
      <w:lvlJc w:val="left"/>
      <w:pPr>
        <w:tabs>
          <w:tab w:val="left" w:pos="312"/>
        </w:tabs>
      </w:pPr>
    </w:lvl>
  </w:abstractNum>
  <w:abstractNum w:abstractNumId="2">
    <w:nsid w:val="CDB710FA"/>
    <w:multiLevelType w:val="singleLevel"/>
    <w:tmpl w:val="CDB710FA"/>
    <w:lvl w:ilvl="0" w:tentative="0">
      <w:start w:val="1"/>
      <w:numFmt w:val="upperLetter"/>
      <w:lvlText w:val="%1."/>
      <w:lvlJc w:val="left"/>
      <w:pPr>
        <w:tabs>
          <w:tab w:val="left" w:pos="312"/>
        </w:tabs>
      </w:pPr>
    </w:lvl>
  </w:abstractNum>
  <w:abstractNum w:abstractNumId="3">
    <w:nsid w:val="13EC207D"/>
    <w:multiLevelType w:val="singleLevel"/>
    <w:tmpl w:val="13EC207D"/>
    <w:lvl w:ilvl="0" w:tentative="0">
      <w:start w:val="1"/>
      <w:numFmt w:val="upperLetter"/>
      <w:lvlText w:val="%1."/>
      <w:lvlJc w:val="left"/>
      <w:pPr>
        <w:tabs>
          <w:tab w:val="left" w:pos="312"/>
        </w:tabs>
      </w:pPr>
    </w:lvl>
  </w:abstractNum>
  <w:abstractNum w:abstractNumId="4">
    <w:nsid w:val="1A17FBFC"/>
    <w:multiLevelType w:val="singleLevel"/>
    <w:tmpl w:val="1A17FBFC"/>
    <w:lvl w:ilvl="0" w:tentative="0">
      <w:start w:val="1"/>
      <w:numFmt w:val="upperLetter"/>
      <w:lvlText w:val="%1."/>
      <w:lvlJc w:val="left"/>
      <w:pPr>
        <w:tabs>
          <w:tab w:val="left" w:pos="312"/>
        </w:tabs>
      </w:pPr>
    </w:lvl>
  </w:abstractNum>
  <w:abstractNum w:abstractNumId="5">
    <w:nsid w:val="2DCBFD22"/>
    <w:multiLevelType w:val="singleLevel"/>
    <w:tmpl w:val="2DCBFD22"/>
    <w:lvl w:ilvl="0" w:tentative="0">
      <w:start w:val="1"/>
      <w:numFmt w:val="upperLetter"/>
      <w:lvlText w:val="%1."/>
      <w:lvlJc w:val="left"/>
      <w:pPr>
        <w:tabs>
          <w:tab w:val="left" w:pos="312"/>
        </w:tabs>
      </w:pPr>
    </w:lvl>
  </w:abstractNum>
  <w:abstractNum w:abstractNumId="6">
    <w:nsid w:val="7D568D68"/>
    <w:multiLevelType w:val="singleLevel"/>
    <w:tmpl w:val="7D568D68"/>
    <w:lvl w:ilvl="0" w:tentative="0">
      <w:start w:val="1"/>
      <w:numFmt w:val="upperLetter"/>
      <w:lvlText w:val="%1."/>
      <w:lvlJc w:val="left"/>
      <w:pPr>
        <w:tabs>
          <w:tab w:val="left" w:pos="312"/>
        </w:tabs>
      </w:pPr>
    </w:lvl>
  </w:abstractNum>
  <w:num w:numId="1">
    <w:abstractNumId w:val="3"/>
  </w:num>
  <w:num w:numId="2">
    <w:abstractNumId w:val="1"/>
  </w:num>
  <w:num w:numId="3">
    <w:abstractNumId w:val="6"/>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3227FA"/>
    <w:rsid w:val="0C3227FA"/>
    <w:rsid w:val="0F2F0F1F"/>
    <w:rsid w:val="4FA17E4A"/>
    <w:rsid w:val="50392D49"/>
    <w:rsid w:val="780D41E4"/>
    <w:rsid w:val="7AF9502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3"/>
    <w:basedOn w:val="1"/>
    <w:next w:val="1"/>
    <w:link w:val="8"/>
    <w:unhideWhenUsed/>
    <w:qFormat/>
    <w:uiPriority w:val="0"/>
    <w:pPr>
      <w:keepNext/>
      <w:keepLines/>
      <w:spacing w:before="260" w:after="260" w:line="413" w:lineRule="auto"/>
      <w:outlineLvl w:val="2"/>
    </w:pPr>
    <w:rPr>
      <w:b/>
      <w:sz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3 Char"/>
    <w:link w:val="3"/>
    <w:qFormat/>
    <w:uiPriority w:val="0"/>
    <w:rPr>
      <w:b/>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2021-04-26T01:46:00Z</dcterms:created>
  <dc:creator>user</dc:creator>
  <cp:lastModifiedBy>lenovo</cp:lastModifiedBy>
  <dcterms:modified xsi:type="dcterms:W3CDTF">2021-06-16T01:42:03Z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